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b/>
        </w:rPr>
      </w:pPr>
      <w:r>
        <w:rPr>
          <w:b/>
        </w:rPr>
        <w:t>Statement of Work</w:t>
      </w:r>
    </w:p>
    <w:p>
      <w:pPr>
        <w:pStyle w:val="Title"/>
        <w:rPr>
          <w:b/>
          <w:b/>
        </w:rPr>
      </w:pPr>
      <w:r>
        <w:rPr>
          <w:b/>
        </w:rPr>
        <w:t>TTWCS v5.4.0.2 Thin Client</w:t>
      </w:r>
    </w:p>
    <w:p>
      <w:pPr>
        <w:pStyle w:val="Title"/>
        <w:rPr>
          <w:b/>
          <w:b/>
        </w:rPr>
      </w:pPr>
      <w:r>
        <w:rPr>
          <w:b/>
        </w:rPr>
        <w:t xml:space="preserve">PR </w:t>
      </w:r>
    </w:p>
    <w:p>
      <w:pPr>
        <w:pStyle w:val="Heading1"/>
        <w:numPr>
          <w:ilvl w:val="0"/>
          <w:numId w:val="2"/>
        </w:numPr>
        <w:rPr/>
      </w:pPr>
      <w:r>
        <w:rPr/>
        <w:t>Scope</w:t>
      </w:r>
    </w:p>
    <w:p>
      <w:pPr>
        <w:pStyle w:val="Normal"/>
        <w:rPr/>
      </w:pPr>
      <w:r>
        <w:rPr/>
        <w:t xml:space="preserve">This Contract encompasses the tasks required to procure and deliver Thin Client to the Government.  This Contract is intended to be a Firm Fixed Price single award contract.  The Contractor shall ensure the materials delivered to the Government are correct and meet specifications of the Drawings provided as Government Furnished Information (GFI).  There is no engineering or technical tasking associated with </w:t>
      </w:r>
      <w:bookmarkStart w:id="0" w:name="_GoBack"/>
      <w:bookmarkEnd w:id="0"/>
      <w:r>
        <w:rPr/>
        <w:t>this Contract however, technical expertise will be required to understand and comply with Drawings and to identify discontinued or obsolete parts.</w:t>
      </w:r>
    </w:p>
    <w:p>
      <w:pPr>
        <w:pStyle w:val="Heading1"/>
        <w:numPr>
          <w:ilvl w:val="0"/>
          <w:numId w:val="2"/>
        </w:numPr>
        <w:rPr/>
      </w:pPr>
      <w:r>
        <w:rPr/>
        <w:t>Background</w:t>
      </w:r>
    </w:p>
    <w:p>
      <w:pPr>
        <w:pStyle w:val="Normal"/>
        <w:rPr/>
      </w:pPr>
      <w:r>
        <w:rPr/>
        <w:t xml:space="preserve">The Naval Surface Warfare Center Port Hueneme Division (NSWC PHD) is tasked with procuring Thin Client for installation in new ships and retrofit into existing ships.   On time delivery of these materials is critical to meet program schedules.  </w:t>
      </w:r>
    </w:p>
    <w:p>
      <w:pPr>
        <w:pStyle w:val="Heading1"/>
        <w:numPr>
          <w:ilvl w:val="0"/>
          <w:numId w:val="2"/>
        </w:numPr>
        <w:rPr/>
      </w:pPr>
      <w:r>
        <w:rPr/>
        <w:t>Definitions</w:t>
      </w:r>
    </w:p>
    <w:p>
      <w:pPr>
        <w:pStyle w:val="Normal"/>
        <w:rPr/>
      </w:pPr>
      <w:r>
        <w:rPr/>
        <w:t>COTS – Commercial Off the Shelf</w:t>
      </w:r>
    </w:p>
    <w:p>
      <w:pPr>
        <w:pStyle w:val="Normal"/>
        <w:rPr/>
      </w:pPr>
      <w:r>
        <w:rPr/>
        <w:t>DMSMS – Diminishing Manufacturing Sources and Material Shortages</w:t>
      </w:r>
    </w:p>
    <w:p>
      <w:pPr>
        <w:pStyle w:val="Normal"/>
        <w:rPr/>
      </w:pPr>
      <w:r>
        <w:rPr/>
        <w:t>FOB – Freight On Board</w:t>
      </w:r>
    </w:p>
    <w:p>
      <w:pPr>
        <w:pStyle w:val="Normal"/>
        <w:rPr/>
      </w:pPr>
      <w:r>
        <w:rPr/>
        <w:t>KO – Government Contracting Officer</w:t>
      </w:r>
    </w:p>
    <w:p>
      <w:pPr>
        <w:pStyle w:val="Normal"/>
        <w:rPr/>
      </w:pPr>
      <w:r>
        <w:rPr/>
        <w:t>NSWC PHD – Naval Surface Warfare Center Port Hueneme Division</w:t>
      </w:r>
    </w:p>
    <w:p>
      <w:pPr>
        <w:pStyle w:val="Normal"/>
        <w:rPr/>
      </w:pPr>
      <w:r>
        <w:rPr/>
        <w:t>SOW – Statement of Work</w:t>
      </w:r>
    </w:p>
    <w:p>
      <w:pPr>
        <w:pStyle w:val="Heading1"/>
        <w:numPr>
          <w:ilvl w:val="0"/>
          <w:numId w:val="2"/>
        </w:numPr>
        <w:rPr/>
      </w:pPr>
      <w:r>
        <w:rPr/>
        <w:t>Tasks</w:t>
      </w:r>
    </w:p>
    <w:p>
      <w:pPr>
        <w:pStyle w:val="NoSpacing"/>
        <w:numPr>
          <w:ilvl w:val="0"/>
          <w:numId w:val="0"/>
        </w:numPr>
        <w:ind w:left="720" w:hanging="0"/>
        <w:rPr>
          <w:b/>
          <w:b/>
          <w:sz w:val="28"/>
          <w:u w:val="single"/>
        </w:rPr>
      </w:pPr>
      <w:r>
        <w:rPr>
          <w:b/>
          <w:sz w:val="28"/>
          <w:u w:val="single"/>
        </w:rPr>
        <w:t>General:</w:t>
      </w:r>
    </w:p>
    <w:p>
      <w:pPr>
        <w:pStyle w:val="NoSpacing"/>
        <w:numPr>
          <w:ilvl w:val="0"/>
          <w:numId w:val="3"/>
        </w:numPr>
        <w:rPr/>
      </w:pPr>
      <w:r>
        <w:rPr/>
        <w:t>The Contractor shall deliver all items within the schedule specified.</w:t>
      </w:r>
    </w:p>
    <w:p>
      <w:pPr>
        <w:pStyle w:val="NoSpacing"/>
        <w:numPr>
          <w:ilvl w:val="0"/>
          <w:numId w:val="3"/>
        </w:numPr>
        <w:rPr/>
      </w:pPr>
      <w:r>
        <w:rPr/>
        <w:t xml:space="preserve">The Contractor shall procure Thin Clients in accordance with Drawing 8501766. </w:t>
      </w:r>
    </w:p>
    <w:p>
      <w:pPr>
        <w:pStyle w:val="NoSpacing"/>
        <w:numPr>
          <w:ilvl w:val="0"/>
          <w:numId w:val="3"/>
        </w:numPr>
        <w:rPr/>
      </w:pPr>
      <w:r>
        <w:rPr/>
        <w:t xml:space="preserve">The Contractor shall not deviate from part requirements as detailed in the drawings.  </w:t>
      </w:r>
    </w:p>
    <w:p>
      <w:pPr>
        <w:pStyle w:val="NoSpacing"/>
        <w:numPr>
          <w:ilvl w:val="0"/>
          <w:numId w:val="0"/>
        </w:numPr>
        <w:ind w:left="720" w:hanging="0"/>
        <w:rPr/>
      </w:pPr>
      <w:r>
        <w:rPr/>
      </w:r>
    </w:p>
    <w:p>
      <w:pPr>
        <w:pStyle w:val="NoSpacing"/>
        <w:numPr>
          <w:ilvl w:val="0"/>
          <w:numId w:val="0"/>
        </w:numPr>
        <w:ind w:left="720" w:hanging="0"/>
        <w:rPr>
          <w:b/>
          <w:b/>
          <w:sz w:val="28"/>
          <w:u w:val="single"/>
        </w:rPr>
      </w:pPr>
      <w:r>
        <w:rPr>
          <w:b/>
          <w:sz w:val="28"/>
          <w:u w:val="single"/>
        </w:rPr>
        <w:t>Drawings:</w:t>
      </w:r>
    </w:p>
    <w:p>
      <w:pPr>
        <w:pStyle w:val="NoSpacing"/>
        <w:numPr>
          <w:ilvl w:val="0"/>
          <w:numId w:val="3"/>
        </w:numPr>
        <w:rPr/>
      </w:pPr>
      <w:r>
        <w:rPr/>
        <w:t>Contractor shall not substitute, change, or modify Drawings.</w:t>
      </w:r>
    </w:p>
    <w:p>
      <w:pPr>
        <w:pStyle w:val="NoSpacing"/>
        <w:numPr>
          <w:ilvl w:val="0"/>
          <w:numId w:val="3"/>
        </w:numPr>
        <w:rPr/>
      </w:pPr>
      <w:r>
        <w:rPr/>
        <w:t>The Contractor shall manufacture and assemble all components to the specifications of the Drawings provided as GFI.  The Contractor shall adhere to all applicable Military Standards, specifications, and requirements on each Drawing.</w:t>
      </w:r>
    </w:p>
    <w:p>
      <w:pPr>
        <w:pStyle w:val="NoSpacing"/>
        <w:numPr>
          <w:ilvl w:val="0"/>
          <w:numId w:val="3"/>
        </w:numPr>
        <w:rPr/>
      </w:pPr>
      <w:r>
        <w:rPr/>
        <w:t>If the Contractor determines the materials cannot be procured or materials listed are incompatible due to obsolescence / DMSMS, the Contractor shall contact the Government KO to resolve any issues.</w:t>
      </w:r>
    </w:p>
    <w:p>
      <w:pPr>
        <w:pStyle w:val="NoSpacing"/>
        <w:numPr>
          <w:ilvl w:val="0"/>
          <w:numId w:val="0"/>
        </w:numPr>
        <w:ind w:left="720" w:hanging="0"/>
        <w:rPr/>
      </w:pPr>
      <w:r>
        <w:rPr/>
        <w:t xml:space="preserve">  </w:t>
      </w:r>
    </w:p>
    <w:p>
      <w:pPr>
        <w:pStyle w:val="NoSpacing"/>
        <w:numPr>
          <w:ilvl w:val="0"/>
          <w:numId w:val="0"/>
        </w:numPr>
        <w:ind w:left="720" w:hanging="0"/>
        <w:rPr>
          <w:b/>
          <w:b/>
          <w:sz w:val="28"/>
          <w:u w:val="single"/>
        </w:rPr>
      </w:pPr>
      <w:r>
        <w:rPr>
          <w:b/>
          <w:sz w:val="28"/>
          <w:u w:val="single"/>
        </w:rPr>
        <w:t>Counterfeit Parts and Materials:</w:t>
      </w:r>
    </w:p>
    <w:p>
      <w:pPr>
        <w:pStyle w:val="NoSpacing"/>
        <w:numPr>
          <w:ilvl w:val="0"/>
          <w:numId w:val="3"/>
        </w:numPr>
        <w:rPr/>
      </w:pPr>
      <w:r>
        <w:rPr/>
        <w:t>The Contractor shall implement procedures to minimize the risk of procuring and / or using counterfeit parts and materials.  Counterfeit parts may typically be used parts which have been refurbished and represented as new.  These parts may or may not contain authentic components, and will often pass most if not all of the performance requirements and specifications.  However, the part reliability may have been compromised during removal, handling, or remarking, and a reduced life can be expected.  Counterfeit mechanical parts are typically improperly made, marked, or treated.  Examples are improper anodize or heat treatments (including falsified data), mismarked parts sold as a higher grade material, or used parts such as fasteners and sockets.</w:t>
      </w:r>
    </w:p>
    <w:p>
      <w:pPr>
        <w:pStyle w:val="NoSpacing"/>
        <w:numPr>
          <w:ilvl w:val="0"/>
          <w:numId w:val="3"/>
        </w:numPr>
        <w:rPr/>
      </w:pPr>
      <w:r>
        <w:rPr/>
        <w:t>Solicitations and subcontracts for all suppliers shall contain a requirement for procedures to minimize the risk of procuring and / or using counterfeit parts and materials.</w:t>
      </w:r>
    </w:p>
    <w:p>
      <w:pPr>
        <w:pStyle w:val="Heading1"/>
        <w:numPr>
          <w:ilvl w:val="0"/>
          <w:numId w:val="2"/>
        </w:numPr>
        <w:rPr/>
      </w:pPr>
      <w:r>
        <w:rPr/>
        <w:t>Packaging</w:t>
      </w:r>
    </w:p>
    <w:p>
      <w:pPr>
        <w:pStyle w:val="Normal"/>
        <w:rPr/>
      </w:pPr>
      <w:r>
        <w:rPr/>
        <w:t>All materials shall be packaged using best commercial practices.  The Thin Client shall be individually packaged and marked with part numbers and serial numbers clearly visible on the package exterior.  All packages shall be marked with the delivery order number and assembly date clearly visible on the package exterior.</w:t>
      </w:r>
    </w:p>
    <w:p>
      <w:pPr>
        <w:pStyle w:val="Heading1"/>
        <w:numPr>
          <w:ilvl w:val="0"/>
          <w:numId w:val="2"/>
        </w:numPr>
        <w:rPr/>
      </w:pPr>
      <w:r>
        <w:rPr/>
        <w:t>Delivery</w:t>
      </w:r>
    </w:p>
    <w:p>
      <w:pPr>
        <w:pStyle w:val="Normal"/>
        <w:rPr/>
      </w:pPr>
      <w:r>
        <w:rPr/>
        <w:t>The Contractor shall deliver materials to the Government via traceable means by the dates provided in the purchase order.  Inspection and acceptance will be performed at the Naval Surface Warfare Center Port Hueneme Division.  All materials shall be delivered with transportation prepaid and FOB Destination.  The Government reserves the right to inspect and accept all materials up to 15 calendar days after receipt.  Estimated delivery time is 12 weeks ARO.</w:t>
      </w:r>
    </w:p>
    <w:p>
      <w:pPr>
        <w:pStyle w:val="Heading1"/>
        <w:numPr>
          <w:ilvl w:val="0"/>
          <w:numId w:val="2"/>
        </w:numPr>
        <w:rPr/>
      </w:pPr>
      <w:r>
        <w:rPr/>
        <w:t>Government Furnished Property / Information</w:t>
      </w:r>
    </w:p>
    <w:p>
      <w:pPr>
        <w:pStyle w:val="Normal"/>
        <w:rPr/>
      </w:pPr>
      <w:r>
        <w:rPr/>
        <w:t>The Government will provide Government Furnished Information (GFI) for this Contract.  The Contractor shall use the GFI only in the execution of this contract.  All GFI shall be returned to the Government before the Contract ends.  The Contractor shall retain no rights to the GFI or any derivatives thereof.  The GFI will include:</w:t>
      </w:r>
    </w:p>
    <w:p>
      <w:pPr>
        <w:pStyle w:val="Normal"/>
        <w:rPr/>
      </w:pPr>
      <w:r>
        <w:rPr/>
        <w:t>Attachment 1: Thin Client 8501766 and associated subassembly drawings listed within.</w:t>
      </w:r>
    </w:p>
    <w:p>
      <w:pPr>
        <w:pStyle w:val="Heading1"/>
        <w:numPr>
          <w:ilvl w:val="0"/>
          <w:numId w:val="2"/>
        </w:numPr>
        <w:rPr/>
      </w:pPr>
      <w:r>
        <w:rPr/>
        <w:t>Place of Performance</w:t>
      </w:r>
    </w:p>
    <w:p>
      <w:pPr>
        <w:pStyle w:val="Normal"/>
        <w:rPr/>
      </w:pPr>
      <w:r>
        <w:rPr/>
        <w:t>The Contract shall be performed at the Contractor’s facility.</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37779473"/>
    </w:sdtPr>
    <w:sdtContent>
      <w:p>
        <w:pPr>
          <w:pStyle w:val="Footer"/>
          <w:jc w:val="center"/>
          <w:rPr/>
        </w:pPr>
        <w:r>
          <w:rPr/>
          <w:t xml:space="preserve">Page </w:t>
        </w:r>
        <w:r>
          <w:rPr>
            <w:b/>
            <w:bCs/>
            <w:sz w:val="24"/>
            <w:szCs w:val="24"/>
          </w:rPr>
          <w:fldChar w:fldCharType="begin"/>
        </w:r>
        <w:r>
          <w:instrText> PAGE </w:instrText>
        </w:r>
        <w:r>
          <w:fldChar w:fldCharType="separate"/>
        </w:r>
        <w:r>
          <w:t>3</w:t>
        </w:r>
        <w:r>
          <w:fldChar w:fldCharType="end"/>
        </w:r>
        <w:r>
          <w:rPr/>
          <w:t xml:space="preserve"> of </w:t>
        </w:r>
        <w:r>
          <w:rPr>
            <w:b/>
            <w:bCs/>
            <w:sz w:val="24"/>
            <w:szCs w:val="24"/>
          </w:rPr>
          <w:fldChar w:fldCharType="begin"/>
        </w:r>
        <w:r>
          <w:instrText> NUMPAGES </w:instrText>
        </w:r>
        <w:r>
          <w:fldChar w:fldCharType="separate"/>
        </w:r>
        <w:r>
          <w:t>3</w:t>
        </w:r>
        <w:r>
          <w:fldChar w:fldCharType="end"/>
        </w:r>
      </w:p>
    </w:sdtContent>
  </w:sdt>
  <w:p>
    <w:pPr>
      <w:pStyle w:val="Footer"/>
      <w:jc w:val="right"/>
      <w:rPr/>
    </w:pPr>
    <w:r>
      <w:rPr/>
      <w:t>Revision: December 15, 2014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45dc"/>
    <w:pPr>
      <w:widowControl/>
      <w:bidi w:val="0"/>
      <w:spacing w:before="0" w:after="0" w:lineRule="auto" w:line="276"/>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3745dc"/>
    <w:pPr>
      <w:keepNext/>
      <w:keepLines/>
      <w:numPr>
        <w:ilvl w:val="0"/>
        <w:numId w:val="1"/>
      </w:numPr>
      <w:spacing w:before="480" w:after="0"/>
      <w:outlineLvl w:val="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745dc"/>
    <w:rPr>
      <w:rFonts w:ascii="Cambria" w:hAnsi="Cambria" w:eastAsia="" w:cs="" w:asciiTheme="majorHAnsi" w:cstheme="majorBidi" w:eastAsiaTheme="majorEastAsia" w:hAnsiTheme="majorHAnsi"/>
      <w:b/>
      <w:bCs/>
      <w:color w:val="365F91" w:themeColor="accent1" w:themeShade="bf"/>
      <w:sz w:val="28"/>
      <w:szCs w:val="28"/>
    </w:rPr>
  </w:style>
  <w:style w:type="character" w:styleId="TitleChar" w:customStyle="1">
    <w:name w:val="Title Char"/>
    <w:basedOn w:val="DefaultParagraphFont"/>
    <w:link w:val="Title"/>
    <w:uiPriority w:val="10"/>
    <w:qFormat/>
    <w:rsid w:val="00dc591a"/>
    <w:rPr>
      <w:rFonts w:ascii="Cambria" w:hAnsi="Cambria" w:eastAsia="" w:cs="" w:asciiTheme="majorHAnsi" w:cstheme="majorBidi" w:eastAsiaTheme="majorEastAsia" w:hAnsiTheme="majorHAnsi"/>
      <w:color w:val="17365D" w:themeColor="text2" w:themeShade="bf"/>
      <w:spacing w:val="5"/>
      <w:sz w:val="44"/>
      <w:szCs w:val="52"/>
    </w:rPr>
  </w:style>
  <w:style w:type="character" w:styleId="HeaderChar" w:customStyle="1">
    <w:name w:val="Header Char"/>
    <w:basedOn w:val="DefaultParagraphFont"/>
    <w:link w:val="Header"/>
    <w:uiPriority w:val="99"/>
    <w:qFormat/>
    <w:rsid w:val="00d8593f"/>
    <w:rPr/>
  </w:style>
  <w:style w:type="character" w:styleId="FooterChar" w:customStyle="1">
    <w:name w:val="Footer Char"/>
    <w:basedOn w:val="DefaultParagraphFont"/>
    <w:link w:val="Footer"/>
    <w:uiPriority w:val="99"/>
    <w:qFormat/>
    <w:rsid w:val="00d8593f"/>
    <w:rPr/>
  </w:style>
  <w:style w:type="character" w:styleId="Annotationreference">
    <w:name w:val="annotation reference"/>
    <w:basedOn w:val="DefaultParagraphFont"/>
    <w:uiPriority w:val="99"/>
    <w:semiHidden/>
    <w:unhideWhenUsed/>
    <w:qFormat/>
    <w:rsid w:val="00af1a67"/>
    <w:rPr>
      <w:sz w:val="16"/>
      <w:szCs w:val="16"/>
    </w:rPr>
  </w:style>
  <w:style w:type="character" w:styleId="CommentTextChar" w:customStyle="1">
    <w:name w:val="Comment Text Char"/>
    <w:basedOn w:val="DefaultParagraphFont"/>
    <w:link w:val="CommentText"/>
    <w:uiPriority w:val="99"/>
    <w:qFormat/>
    <w:rsid w:val="00af1a67"/>
    <w:rPr>
      <w:sz w:val="20"/>
      <w:szCs w:val="20"/>
    </w:rPr>
  </w:style>
  <w:style w:type="character" w:styleId="CommentSubjectChar" w:customStyle="1">
    <w:name w:val="Comment Subject Char"/>
    <w:basedOn w:val="CommentTextChar"/>
    <w:link w:val="CommentSubject"/>
    <w:uiPriority w:val="99"/>
    <w:semiHidden/>
    <w:qFormat/>
    <w:rsid w:val="00af1a67"/>
    <w:rPr>
      <w:b/>
      <w:bCs/>
      <w:sz w:val="20"/>
      <w:szCs w:val="20"/>
    </w:rPr>
  </w:style>
  <w:style w:type="character" w:styleId="BalloonTextChar" w:customStyle="1">
    <w:name w:val="Balloon Text Char"/>
    <w:basedOn w:val="DefaultParagraphFont"/>
    <w:link w:val="BalloonText"/>
    <w:uiPriority w:val="99"/>
    <w:semiHidden/>
    <w:qFormat/>
    <w:rsid w:val="00af1a67"/>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dc591a"/>
    <w:pPr>
      <w:pBdr>
        <w:bottom w:val="single" w:sz="8" w:space="4" w:color="4F81BD"/>
      </w:pBdr>
      <w:spacing w:lineRule="auto" w:line="240" w:before="0" w:after="300"/>
      <w:contextualSpacing/>
      <w:jc w:val="center"/>
    </w:pPr>
    <w:rPr>
      <w:rFonts w:ascii="Cambria" w:hAnsi="Cambria" w:eastAsia="" w:cs="" w:asciiTheme="majorHAnsi" w:cstheme="majorBidi" w:eastAsiaTheme="majorEastAsia" w:hAnsiTheme="majorHAnsi"/>
      <w:color w:val="17365D" w:themeColor="text2" w:themeShade="bf"/>
      <w:spacing w:val="5"/>
      <w:sz w:val="44"/>
      <w:szCs w:val="52"/>
    </w:rPr>
  </w:style>
  <w:style w:type="paragraph" w:styleId="Header">
    <w:name w:val="Header"/>
    <w:basedOn w:val="Normal"/>
    <w:link w:val="HeaderChar"/>
    <w:uiPriority w:val="99"/>
    <w:unhideWhenUsed/>
    <w:rsid w:val="00d8593f"/>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d8593f"/>
    <w:pPr>
      <w:tabs>
        <w:tab w:val="center" w:pos="4680" w:leader="none"/>
        <w:tab w:val="right" w:pos="9360" w:leader="none"/>
      </w:tabs>
      <w:spacing w:lineRule="auto" w:line="240"/>
    </w:pPr>
    <w:rPr/>
  </w:style>
  <w:style w:type="paragraph" w:styleId="NoSpacing">
    <w:name w:val="No Spacing"/>
    <w:uiPriority w:val="1"/>
    <w:qFormat/>
    <w:rsid w:val="00af1a6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Annotationtext">
    <w:name w:val="annotation text"/>
    <w:basedOn w:val="Normal"/>
    <w:link w:val="CommentTextChar"/>
    <w:uiPriority w:val="99"/>
    <w:unhideWhenUsed/>
    <w:qFormat/>
    <w:rsid w:val="00af1a67"/>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f1a67"/>
    <w:pPr/>
    <w:rPr>
      <w:b/>
      <w:bCs/>
    </w:rPr>
  </w:style>
  <w:style w:type="paragraph" w:styleId="BalloonText">
    <w:name w:val="Balloon Text"/>
    <w:basedOn w:val="Normal"/>
    <w:link w:val="BalloonTextChar"/>
    <w:uiPriority w:val="99"/>
    <w:semiHidden/>
    <w:unhideWhenUsed/>
    <w:qFormat/>
    <w:rsid w:val="00af1a67"/>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LibreOffice/5.0.2.2$Linux_X86_64 LibreOffice_project/00m0$Build-2</Application>
  <Paragraphs>8</Paragraphs>
  <Company>NMCI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2016-03-02T19:02:00Z</dcterms:created>
  <dc:creator>Fong, Ronald CIV PHD NSWC, L41</dc:creator>
  <dc:language>en-US</dc:language>
  <cp:lastModifiedBy>Stallion, Dexter D CIV PHD NSWC, 22</cp:lastModifiedBy>
  <cp:lastPrinted>2016-01-25T06:43:00Z</cp:lastPrinted>
  <dcterms:modified xsi:type="dcterms:W3CDTF">2016-03-02T19:02:00Z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NMCI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